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55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73"/>
        <w:gridCol w:w="2558"/>
        <w:gridCol w:w="9189.999999999998"/>
        <w:tblGridChange w:id="0">
          <w:tblGrid>
            <w:gridCol w:w="3773"/>
            <w:gridCol w:w="2558"/>
            <w:gridCol w:w="9189.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العلمي</w:t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384"/>
              </w:tabs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          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جهاز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الإشراف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والتقويم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العلمي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       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تقويم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الأداء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دليل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ملف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تقييم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الاداء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للتدريسيين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لتوزيع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الدرجات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المحاور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والمؤشرات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الفرعية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2021/  2022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الرئيسة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تملئ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المنتسب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وتشمل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استمارات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التدريسيين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الألقاب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والدوائر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لوزارة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العلمي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يملأ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40%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50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"/>
        <w:gridCol w:w="3146"/>
        <w:gridCol w:w="11454"/>
        <w:tblGridChange w:id="0">
          <w:tblGrid>
            <w:gridCol w:w="425"/>
            <w:gridCol w:w="3146"/>
            <w:gridCol w:w="11454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الـــــفقرات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المقررات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قام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بتدريسها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( 10 )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مقرر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دراسي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اولية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عليا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) (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نظري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عملي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).)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10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مقرر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سنوي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) ،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(5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مقرر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فصلي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)/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مقرر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دراسي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سنوي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(10)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مقرر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فصلي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للتدريسي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الاداري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والمتفرغين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جزئيا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لاغراض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.  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يعتمد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(2)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رياضي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فني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كشفي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ثقافي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) 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دراسية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واحدة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لتدريسي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النشاطات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الطلابية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القصوى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لهذه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الفقرة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الصف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والعلاقة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واثارة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1"/>
              </w:rPr>
              <w:t xml:space="preserve">دافعيتهم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استبيان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توزع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يدرسهم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التدريسي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ولكل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مقرراته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الاستبيان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ويتم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احتساب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: (20)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80%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فأكثر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 (16)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70-79 %) (12)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60-69 %) (8)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50-59%)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(4)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(20)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المدمج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تمنح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(5)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فقرة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متعددة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الاستقصاء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الامثلة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التوضيحية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والتطبيقية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لأثراء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الإيضاح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افلام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متخصصة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وسيلة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اخرى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ينشر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محاضراته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وفعالياته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المنصات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(Moodle, Google Class room  Edmodo,)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(30)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الأساليب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المتبعة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تمنح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(5)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فقرة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متنوعة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اداء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تحريرية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شفوية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ادائية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تقاريرالكترونية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انشطة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دوري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ومستمر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وشامل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ويعلن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المناسب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يقدم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تغذية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راجعة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ادائهم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ويعرض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الاجابات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النموذجية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لأسئلة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الدورية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(15)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وتحديثه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تمنح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(5)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فقرة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يقدم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بداية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يعرض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مفردات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ويوزع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الانشطة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يقدم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مقترحات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لتطوير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ومفرداته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ويستخدم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والانشطة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دوريا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ً .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(15)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محورالنشاط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والبحثي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يملأ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جميعها</w:t>
      </w:r>
    </w:p>
    <w:tbl>
      <w:tblPr>
        <w:tblStyle w:val="Table3"/>
        <w:bidiVisual w:val="1"/>
        <w:tblW w:w="15558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"/>
        <w:gridCol w:w="2693"/>
        <w:gridCol w:w="12441"/>
        <w:tblGridChange w:id="0">
          <w:tblGrid>
            <w:gridCol w:w="425"/>
            <w:gridCol w:w="2693"/>
            <w:gridCol w:w="12441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الفقرات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التوصيف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والكتب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العلمي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0"/>
              </w:tabs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المنشورة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والمفهرسة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مستوعبات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كلارفيت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تأثير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اكثر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وسكوباس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اكثر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0"/>
              </w:tabs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المنشورة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والمفهرسة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مستوعبات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كلارفيت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تأثير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اكثر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وسكوباس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اكثر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0"/>
              </w:tabs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المنشورة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والمفهرسة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مستوعبات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كلارفيت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تأثير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وسكوباس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0"/>
              </w:tabs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المنشورة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والمفهرسة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مستوعبات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كلارفيت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تحصل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تأثير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وسكوباس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خاضعة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للتقسيمات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اعلاه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المحلية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لاتكون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المفترسة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يرفق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التوثيق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الخاص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باعتمادية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التقسيمات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اعلاه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المؤلف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المنهجي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المترجم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شرط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المنهجي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المؤلف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المترجم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شرط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ً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محلية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ملاحظة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تشمل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مجموعة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طبعها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وخاضعة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للشروط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اعلاه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والماجستير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والدبلوم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(10-8-6)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التوالي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(10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المنفرد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المشترك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المنفرد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المشترك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(6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المشترك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المنفرد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الدبلوم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المراحل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المنتهية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التخرج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للبكالوريوس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والدبلوم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اقصى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15 ).</w:t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والرسائل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والاطاريح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وبراءات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الاختراع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اقصى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خمسة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اعمال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فنية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بالنسبة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لكليات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الفنون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الجميلة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وتتضمن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المعارض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الشخصية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والمشتركة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وغيرها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النشاطات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الفنية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تمنج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رياضي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كمدرب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دولي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بالنسبة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لكليات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الرياضية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اقصى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(10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القصوى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لهذه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الفقرة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(40)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u w:val="single"/>
                <w:rtl w:val="1"/>
              </w:rPr>
              <w:t xml:space="preserve">ملاحظة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التدريسي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القصوى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لمحور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النشاط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والبحثي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تحقق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لديه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بحثان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منشوران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مستوعبات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سكوباس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كلارفيت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ويستثنى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الشرط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التدريسي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المتفرغ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جزئيا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يشترط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فقط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للفقرة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والبالغة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(40)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الندوات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ورش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الدورات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التدريبية</w:t>
            </w:r>
          </w:p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اعتماد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المشاركات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والالكترونية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)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عالمي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ورشة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ملتقى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منفرد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مشترك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ببوستر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mallCaps w:val="0"/>
                <w:rtl w:val="1"/>
              </w:rPr>
              <w:t xml:space="preserve">  </w:t>
            </w:r>
            <w:r w:rsidDel="00000000" w:rsidR="00000000" w:rsidRPr="00000000">
              <w:rPr>
                <w:smallCaps w:val="0"/>
                <w:rtl w:val="1"/>
              </w:rPr>
              <w:t xml:space="preserve">او</w:t>
            </w:r>
            <w:r w:rsidDel="00000000" w:rsidR="00000000" w:rsidRPr="00000000">
              <w:rPr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smallCaps w:val="0"/>
                <w:rtl w:val="1"/>
              </w:rPr>
              <w:t xml:space="preserve">ورشة</w:t>
            </w:r>
            <w:r w:rsidDel="00000000" w:rsidR="00000000" w:rsidRPr="00000000">
              <w:rPr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smallCaps w:val="0"/>
                <w:rtl w:val="1"/>
              </w:rPr>
              <w:t xml:space="preserve">عمل</w:t>
            </w:r>
            <w:r w:rsidDel="00000000" w:rsidR="00000000" w:rsidRPr="00000000">
              <w:rPr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ملتقى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ثقافي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57"/>
              </w:tabs>
              <w:bidi w:val="1"/>
              <w:spacing w:after="0" w:before="0" w:line="240" w:lineRule="auto"/>
              <w:ind w:left="1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تزيد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خمسة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مشاركات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57"/>
              </w:tabs>
              <w:bidi w:val="1"/>
              <w:spacing w:after="0" w:before="0" w:line="240" w:lineRule="auto"/>
              <w:ind w:left="1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ملتقى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(10)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منفرد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vertAlign w:val="superscript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مشترك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vertAlign w:val="superscript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ببوستر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ورشة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ملتقى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(2)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تزيد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مشاركات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(20)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الوزارات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المجتمع</w:t>
            </w:r>
          </w:p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اعتماد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المشاركات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والالكترونية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)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استشارة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ملتقى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ثقافي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ورشة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لقاء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صحفي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مقالة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زيارة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ايتام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مسنين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المستشفيات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الخدمية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الانتاجية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وغيرها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يقدمها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التدريسي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وتكون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المجتمع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(15)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</w:p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والحلقات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والثقافية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والسمنار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اعتماد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المشاركات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والالكترونية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بصفة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طرائق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للمشارك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كحضور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الدورات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الاخرى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(3)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لرئاسة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لجان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السمنار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والحلقات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(15)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والحقلية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تحليلات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مختبرية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1"/>
              </w:rPr>
              <w:t xml:space="preserve">وغيرها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زيارة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بغض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النظر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التخصصات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فضلا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التخصصات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مجالات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معملي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مختبري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المتابعة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السريرية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والعليا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اوالزيارات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والسفرات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(10)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التربوي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تملأ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(2, 3)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والفقرات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(1، 5,4)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التوثيقات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العلاقة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52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"/>
        <w:gridCol w:w="4100"/>
        <w:gridCol w:w="10691.999999999998"/>
        <w:tblGridChange w:id="0">
          <w:tblGrid>
            <w:gridCol w:w="454"/>
            <w:gridCol w:w="4100"/>
            <w:gridCol w:w="10691.999999999998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الفقرات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التوصيف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اللجان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الدائمية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والمؤقته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وخارج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العلمي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لعضو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اللجنة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الامتحانية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دائمية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مؤقتة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ملاحظة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يعد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سجل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خاص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علمي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يثبت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نشاطات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التدريسين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اللجان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والمهام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التدريسيين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يحقق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العدالة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بينهم</w:t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القصوى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للفقرة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(30)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الالتزام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الوظيفي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تمنح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(4)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فقرة</w:t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الالتزام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بالانظمة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والتعليمات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والدوام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اليومي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والمحاضرات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واجتماعات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يحرض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بكفائة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المواعيد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المحددة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لانهاء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المطلوب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الاستعداد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لبذل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جهود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اضافية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لتحقيق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العمل</w:t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الالتزام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بأداء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دوره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المهام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واللجان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المكلف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بها</w:t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يتمكن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حدوث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ازمات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العمل</w:t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القصوى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للفقرة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اساليب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الارشادية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تمنح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(3)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فقرة</w:t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يؤكد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الاحساس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بالمسؤولية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ويحرص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التفاعل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الاجتماعي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السليم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لديهم</w:t>
            </w:r>
          </w:p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يؤكد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والاعراف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الجامعية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</w:p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يساعد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حرية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وتوكيد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الذات</w:t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يساعد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خفض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القلق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لديهم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وبخاصة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ايام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الامتحانات</w:t>
            </w:r>
          </w:p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يسعى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اكساب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المواقف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الضاغطة</w:t>
            </w:r>
          </w:p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القصوى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للفقرة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(15)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كتب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الشكر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والتقدير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وتثمين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الجهود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التقديرية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(15)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شهادة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تقديرية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الوزير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مايعادل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درجته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كتــاب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شهادة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تقديرية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وكلاء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الوزير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بدرجتهم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ورئيس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يعادل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درجته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شهادة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تقديرية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مساعدي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عمداء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الكليات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مايعادل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درجته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القصوى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للفقرة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مساهمته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الاعمال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التطوعية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وخارجها</w:t>
            </w:r>
          </w:p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ونقابة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الاكاديميين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0"/>
                <w:tab w:val="right" w:pos="529"/>
              </w:tabs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(3)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تطوعي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وخارجها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وتتضمن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التشجير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والتبرع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ترميم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وصبغ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الابنية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وتصليح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الاجهزة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وصيانتها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والتبرع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باجهزة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وبالكتب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وعمل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البوسترات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التوعوية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وغيرها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الاعمال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التطوعية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......</w:t>
            </w:r>
          </w:p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0"/>
                <w:tab w:val="right" w:pos="529"/>
              </w:tabs>
              <w:bidi w:val="1"/>
              <w:spacing w:after="0" w:line="240" w:lineRule="auto"/>
              <w:jc w:val="both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القصوى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للفقرة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(15)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line="240" w:lineRule="auto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            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line="240" w:lineRule="auto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line="240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المحور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الرابع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: (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درجات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مضافة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مواطن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القوة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تملأ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المسؤول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المباشر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تقديم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التوثيقات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العلاقة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tbl>
      <w:tblPr>
        <w:tblStyle w:val="Table5"/>
        <w:bidiVisual w:val="1"/>
        <w:tblW w:w="1385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"/>
        <w:gridCol w:w="9050"/>
        <w:gridCol w:w="4320"/>
        <w:tblGridChange w:id="0">
          <w:tblGrid>
            <w:gridCol w:w="487"/>
            <w:gridCol w:w="905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1"/>
              </w:rPr>
              <w:t xml:space="preserve">ت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مواطن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العلمية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المعطاة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1"/>
              </w:rPr>
              <w:t xml:space="preserve">براءات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الاختراع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الجوائز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جائزة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منحها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ومطابقة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بياناتها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لمتطلبات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النظام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حصرا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1"/>
              </w:rPr>
              <w:t xml:space="preserve">امتلاك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التدريسي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لمعامل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هيرش</w:t>
            </w: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 h- index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Score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بوابات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الحد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الأدنى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لمعامل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هيرش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score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واحد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(1-3)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واحدة</w:t>
            </w:r>
          </w:p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(4-6)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تمنح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2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درجة</w:t>
            </w:r>
          </w:p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(7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فاكثر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تمنج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درجات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1"/>
              </w:rPr>
              <w:t xml:space="preserve">مسؤول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المرأة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وجميع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العاملين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معهم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منظومة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الكترونية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لادارة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احد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البرامج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الوزارة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1"/>
              </w:rPr>
              <w:t xml:space="preserve">مدراء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اقسام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ضمان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الجودة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والاداء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الجامعي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وجميع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العاملين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معهم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كمسؤولي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شعب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واعضاء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ارتباط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تتجاوز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القصوى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 ( 9 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mallCaps w:val="0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الدرجات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تملأ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المسؤول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المباشر</w:t>
      </w:r>
    </w:p>
    <w:tbl>
      <w:tblPr>
        <w:tblStyle w:val="Table6"/>
        <w:bidiVisual w:val="1"/>
        <w:tblW w:w="14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2676"/>
        <w:gridCol w:w="6626"/>
        <w:gridCol w:w="4410"/>
        <w:tblGridChange w:id="0">
          <w:tblGrid>
            <w:gridCol w:w="360"/>
            <w:gridCol w:w="2676"/>
            <w:gridCol w:w="6626"/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</w:t>
            </w:r>
          </w:p>
        </w:tc>
        <w:tc>
          <w:tcPr>
            <w:gridSpan w:val="2"/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الاخفاق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تخصم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تخصم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بحسب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الاتي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لفت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نظر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تخصم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(3)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الإنذار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تخصم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(5)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قطع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الراتب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تخصم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(7)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درجات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التوبيخ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تخصم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(11)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إنقاص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الراتب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تخصم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(13)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تنزيل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الدرجة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تخصم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 (15) </w:t>
            </w: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1"/>
              </w:rPr>
              <w:t xml:space="preserve">درجة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line="240" w:lineRule="auto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39"/>
          <w:tab w:val="center" w:pos="7857"/>
        </w:tabs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 :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تدوين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الاداء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تدريسي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تدرج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والوثائق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الاستعانة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اجراء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استبدال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اللجان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باخر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احتساب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للذي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انجز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المهمة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تكليف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دائمي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لعضو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بمهام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استبداله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باخر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تحتسب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اشهر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التعهد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تؤكد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والبيانات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والوثائق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2: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126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22/2/2022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تجاوز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(70%)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بحثين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مستوعبات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سكوباس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مؤشر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بالجدول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7"/>
        <w:bidiVisual w:val="1"/>
        <w:tblW w:w="151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5"/>
        <w:tblGridChange w:id="0">
          <w:tblGrid>
            <w:gridCol w:w="15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1"/>
              <w:tblW w:w="143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113"/>
              <w:gridCol w:w="7197"/>
              <w:tblGridChange w:id="0">
                <w:tblGrid>
                  <w:gridCol w:w="7113"/>
                  <w:gridCol w:w="719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الاستمارات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المشمولة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بعدم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تجاوز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الدرجة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فيها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(70%)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حال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يتم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نشر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بحث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واحد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الاقل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ضمن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سكوباس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الاستمارات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المشمولة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بعدم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تجاوز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الدرجة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فيها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(70%)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حال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يتم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نشر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بحثين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الاقل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ضمن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سكوباس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مساعدي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رؤساء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الجامعات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وعمداء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الكليات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والمعاهد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مدراء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المراكز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والوحدات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البحثية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معاوني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العنداء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ورؤساء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الاقسام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العلمية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والادارية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ومقرري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الاقسام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والفروع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ومسؤولي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الشعب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والوحدات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الباحث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التدريسي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المراكز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البحثية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اعضاء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الهيئة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التدريسية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المتفرغين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جزئيا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للعام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الدراسي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المتفرغ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الجزئي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بالمركز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البحثي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اعضاء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الهيئة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التدريسية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مدراء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المراكز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الخدمية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الباحث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التدريسي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المراكز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الخدمية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الباحث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التدريسي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المتفرغ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لاغراض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العلمي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داخل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وخارج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العراق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استمارة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الباحث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التدريسي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مركز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التدريب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والمعامل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الجامعة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التكنولوجية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562" w:top="562" w:left="562" w:right="56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